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</w:pPr>
      <w:r>
        <w:rPr>
          <w:rtl w:val="0"/>
          <w:lang w:val="it-IT"/>
        </w:rPr>
        <w:t>Spett.le _________</w:t>
      </w:r>
    </w:p>
    <w:p>
      <w:pPr>
        <w:pStyle w:val="Normal.0"/>
        <w:jc w:val="right"/>
      </w:pPr>
    </w:p>
    <w:p>
      <w:pPr>
        <w:pStyle w:val="Normal.0"/>
        <w:jc w:val="right"/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i w:val="1"/>
          <w:iCs w:val="1"/>
        </w:rPr>
      </w:pPr>
      <w:r>
        <w:rPr>
          <w:rFonts w:ascii="Arial" w:hAnsi="Arial"/>
          <w:b w:val="1"/>
          <w:bCs w:val="1"/>
          <w:i w:val="1"/>
          <w:iCs w:val="1"/>
          <w:rtl w:val="0"/>
          <w:lang w:val="it-IT"/>
        </w:rPr>
        <w:t>Oggetto: comunicazione di sospensione delle attivit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i w:val="1"/>
          <w:iCs w:val="1"/>
          <w:rtl w:val="0"/>
          <w:lang w:val="it-IT"/>
        </w:rPr>
        <w:t xml:space="preserve">di sponsorizzazione delle iniziative e degli eventi congressuali. </w:t>
      </w:r>
    </w:p>
    <w:p>
      <w:pPr>
        <w:pStyle w:val="Normal.0"/>
      </w:pPr>
    </w:p>
    <w:p>
      <w:pPr>
        <w:pStyle w:val="Normal.0"/>
      </w:pPr>
    </w:p>
    <w:p>
      <w:pPr>
        <w:pStyle w:val="Normal.0"/>
        <w:ind w:firstLine="567"/>
      </w:pPr>
      <w:r>
        <w:rPr>
          <w:rtl w:val="0"/>
          <w:lang w:val="it-IT"/>
        </w:rPr>
        <w:t>Spett.le ________,</w:t>
      </w:r>
    </w:p>
    <w:p>
      <w:pPr>
        <w:pStyle w:val="Normal.0"/>
      </w:pPr>
    </w:p>
    <w:p>
      <w:pPr>
        <w:pStyle w:val="Normal.0"/>
        <w:jc w:val="both"/>
      </w:pPr>
      <w:r>
        <w:rPr>
          <w:rtl w:val="0"/>
          <w:lang w:val="it-IT"/>
        </w:rPr>
        <w:t xml:space="preserve">come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noto in tempi recenti le aziende che operano nel settore della fornitura di dispositivi medici sono state destinatarie di provvedimenti con i quali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stato loro imposto di concorrere al ripiano dello sforamento del tetto di spesa in attuazione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 9-</w:t>
      </w:r>
      <w:r>
        <w:rPr>
          <w:rFonts w:ascii="Arial" w:hAnsi="Arial"/>
          <w:i w:val="1"/>
          <w:iCs w:val="1"/>
          <w:rtl w:val="0"/>
          <w:lang w:val="it-IT"/>
        </w:rPr>
        <w:t>ter</w:t>
      </w:r>
      <w:r>
        <w:rPr>
          <w:rtl w:val="0"/>
          <w:lang w:val="it-IT"/>
        </w:rPr>
        <w:t xml:space="preserve"> del Decreto-legge 19 giugno 2015, n. 19. </w:t>
      </w:r>
    </w:p>
    <w:p>
      <w:pPr>
        <w:pStyle w:val="Normal.0"/>
        <w:ind w:firstLine="567"/>
        <w:jc w:val="both"/>
      </w:pPr>
    </w:p>
    <w:p>
      <w:pPr>
        <w:pStyle w:val="Normal.0"/>
        <w:ind w:firstLine="567"/>
        <w:jc w:val="both"/>
      </w:pPr>
      <w:r>
        <w:rPr>
          <w:rtl w:val="0"/>
          <w:lang w:val="it-IT"/>
        </w:rPr>
        <w:t>Detti provvedimenti sono stati oggetto di impugnazione innanzi al Tar Lazio ed i relativi giudizi sono tuttora pendenti. Sulla base dei rilievi esposti dalle societ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ricorrenti, il Tar Lazio ha sollevato la questione di legittimit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costituzionale della normativa in materia di </w:t>
      </w:r>
      <w:r>
        <w:rPr>
          <w:rFonts w:ascii="Arial" w:hAnsi="Arial"/>
          <w:i w:val="1"/>
          <w:iCs w:val="1"/>
          <w:rtl w:val="0"/>
          <w:lang w:val="it-IT"/>
        </w:rPr>
        <w:t>pay back</w:t>
      </w:r>
      <w:r>
        <w:rPr>
          <w:rtl w:val="0"/>
          <w:lang w:val="it-IT"/>
        </w:rPr>
        <w:t xml:space="preserve"> sui dispositivi medici. In data 22 luglio 2024 la Corte Costituzionale si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pronunciata in ordine alla legittimit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della suddetta normativa ed ha in particolate rilevato che la prestazione imposta a carico delle imprese del settore ai fini del ripiano del disavanzo dovuto allo sforamento del tetto di spesa costituisce un contributo solidaristico che trova giustificazione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esigenza di assicurare la dotazione di dispostivi medici necessaria alla tutela salute. Inoltre, detta prestazione imposta di natura solidaristica ad avviso della Consulta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conforme ai principi costituzionali di ragionevolezza e proporzionalit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 xml:space="preserve">. </w:t>
      </w:r>
    </w:p>
    <w:p>
      <w:pPr>
        <w:pStyle w:val="Normal.0"/>
        <w:ind w:firstLine="567"/>
        <w:jc w:val="both"/>
      </w:pPr>
    </w:p>
    <w:p>
      <w:pPr>
        <w:pStyle w:val="Normal.0"/>
        <w:ind w:firstLine="567"/>
        <w:jc w:val="both"/>
      </w:pPr>
      <w:r>
        <w:rPr>
          <w:rtl w:val="0"/>
          <w:lang w:val="it-IT"/>
        </w:rPr>
        <w:t>In ragione di tale pronuncia che ha quindi statuito la legittimit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costituzionale della normativa censurata e nelle more della definizione dei giudizi pendenti innanzi al Tar Lazio, gli effetti dei provvedimenti in tema di </w:t>
      </w:r>
      <w:r>
        <w:rPr>
          <w:rFonts w:ascii="Arial" w:hAnsi="Arial"/>
          <w:i w:val="1"/>
          <w:iCs w:val="1"/>
          <w:rtl w:val="0"/>
          <w:lang w:val="it-IT"/>
        </w:rPr>
        <w:t>pay back</w:t>
      </w:r>
      <w:r>
        <w:rPr>
          <w:rtl w:val="0"/>
          <w:lang w:val="it-IT"/>
        </w:rPr>
        <w:t xml:space="preserve"> sono destinati ad incidere in modo considerevole sull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equilibrio economico e finanziario delle imprese del settore e, quindi, devono essere adeguatamente valutati al fine di non pregiudicare la continuit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aziendale e la sostenibilit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del debito, anche nella prospettiva di assicurare la regolare esecuzione dei servizi erogati. </w:t>
      </w:r>
    </w:p>
    <w:p>
      <w:pPr>
        <w:pStyle w:val="Normal.0"/>
        <w:ind w:firstLine="567"/>
        <w:jc w:val="both"/>
      </w:pPr>
    </w:p>
    <w:p>
      <w:pPr>
        <w:pStyle w:val="Normal.0"/>
        <w:ind w:firstLine="567"/>
        <w:jc w:val="both"/>
      </w:pPr>
      <w:r>
        <w:rPr>
          <w:rtl w:val="0"/>
          <w:lang w:val="it-IT"/>
        </w:rPr>
        <w:t>Per tali ragioni, siamo spiacenti di comunicare la sospensione immediata di ogni 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riferita alla sponsorizzazione ed al sostegno economico degli eventi congressuali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anno in corso compresi quelli che, sebbene gi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programmati, non hanno ancora avuto luogo. </w:t>
      </w:r>
    </w:p>
    <w:p>
      <w:pPr>
        <w:pStyle w:val="Normal.0"/>
        <w:ind w:firstLine="567"/>
        <w:jc w:val="both"/>
      </w:pPr>
    </w:p>
    <w:p>
      <w:pPr>
        <w:pStyle w:val="Normal.0"/>
        <w:ind w:firstLine="567"/>
        <w:jc w:val="both"/>
      </w:pPr>
      <w:r>
        <w:rPr>
          <w:rtl w:val="0"/>
          <w:lang w:val="it-IT"/>
        </w:rPr>
        <w:t>Certi di aver debitamente illustrato le ragioni che, nella fase attuale, ci impongono di assumere iniziative prudenziali, a tutela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equilibrio economico e finanziario della societ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e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della stabilit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occupazionale dei nostri lavoratori</w:t>
      </w:r>
      <w:r>
        <w:rPr>
          <w:rtl w:val="0"/>
          <w:lang w:val="it-IT"/>
        </w:rPr>
        <w:t>, confidiamo che il Governo e il Parlamento, nonch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le Regioni, assumano provvedimenti ragionevoli volti alla complessiva rivisitazione della normativa censurata che riteniamo profondamente ingiusta, tra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altro in un settore cos</w:t>
      </w:r>
      <w:r>
        <w:rPr>
          <w:rtl w:val="0"/>
          <w:lang w:val="it-IT"/>
        </w:rPr>
        <w:t xml:space="preserve">ì </w:t>
      </w:r>
      <w:r>
        <w:rPr>
          <w:rtl w:val="0"/>
          <w:lang w:val="it-IT"/>
        </w:rPr>
        <w:t>delicato ove siamo impegnati per fornire i nostri servizi e le nostre prestazioni a tutela della salute dei cittadini.</w:t>
      </w:r>
    </w:p>
    <w:p>
      <w:pPr>
        <w:pStyle w:val="Normal.0"/>
        <w:ind w:firstLine="567"/>
        <w:jc w:val="both"/>
      </w:pPr>
    </w:p>
    <w:p>
      <w:pPr>
        <w:pStyle w:val="Normal.0"/>
        <w:ind w:firstLine="567"/>
      </w:pPr>
      <w:r/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